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b w:val="1"/>
          <w:sz w:val="28"/>
          <w:szCs w:val="28"/>
          <w:highlight w:val="white"/>
        </w:rPr>
      </w:pPr>
      <w:r w:rsidDel="00000000" w:rsidR="00000000" w:rsidRPr="00000000">
        <w:rPr>
          <w:rFonts w:ascii="Times" w:cs="Times" w:eastAsia="Times" w:hAnsi="Times"/>
          <w:highlight w:val="white"/>
          <w:rtl w:val="0"/>
        </w:rPr>
        <w:t xml:space="preserve">Call For Papers</w:t>
      </w:r>
      <w:r w:rsidDel="00000000" w:rsidR="00000000" w:rsidRPr="00000000">
        <w:rPr>
          <w:rtl w:val="0"/>
        </w:rPr>
      </w:r>
    </w:p>
    <w:p w:rsidR="00000000" w:rsidDel="00000000" w:rsidP="00000000" w:rsidRDefault="00000000" w:rsidRPr="00000000" w14:paraId="00000001">
      <w:pPr>
        <w:contextualSpacing w:val="0"/>
        <w:rPr>
          <w:rFonts w:ascii="Times" w:cs="Times" w:eastAsia="Times" w:hAnsi="Times"/>
          <w:b w:val="1"/>
          <w:color w:val="000000"/>
          <w:sz w:val="28"/>
          <w:szCs w:val="28"/>
          <w:highlight w:val="white"/>
        </w:rPr>
      </w:pPr>
      <w:r w:rsidDel="00000000" w:rsidR="00000000" w:rsidRPr="00000000">
        <w:rPr>
          <w:rFonts w:ascii="Times" w:cs="Times" w:eastAsia="Times" w:hAnsi="Times"/>
          <w:b w:val="1"/>
          <w:color w:val="000000"/>
          <w:sz w:val="28"/>
          <w:szCs w:val="28"/>
          <w:highlight w:val="white"/>
          <w:rtl w:val="0"/>
        </w:rPr>
        <w:t xml:space="preserve">Disability and Preservation </w:t>
      </w:r>
    </w:p>
    <w:p w:rsidR="00000000" w:rsidDel="00000000" w:rsidP="00000000" w:rsidRDefault="00000000" w:rsidRPr="00000000" w14:paraId="00000002">
      <w:pPr>
        <w:contextualSpacing w:val="0"/>
        <w:rPr>
          <w:rFonts w:ascii="Times" w:cs="Times" w:eastAsia="Times" w:hAnsi="Times"/>
          <w:color w:val="000000"/>
          <w:highlight w:val="white"/>
        </w:rPr>
      </w:pPr>
      <w:r w:rsidDel="00000000" w:rsidR="00000000" w:rsidRPr="00000000">
        <w:rPr>
          <w:rFonts w:ascii="Times" w:cs="Times" w:eastAsia="Times" w:hAnsi="Times"/>
          <w:color w:val="000000"/>
          <w:highlight w:val="white"/>
          <w:rtl w:val="0"/>
        </w:rPr>
        <w:t xml:space="preserve">Future Anterior Journal</w:t>
      </w:r>
    </w:p>
    <w:p w:rsidR="00000000" w:rsidDel="00000000" w:rsidP="00000000" w:rsidRDefault="00000000" w:rsidRPr="00000000" w14:paraId="00000003">
      <w:pPr>
        <w:contextualSpacing w:val="0"/>
        <w:rPr>
          <w:rFonts w:ascii="Times" w:cs="Times" w:eastAsia="Times" w:hAnsi="Times"/>
          <w:color w:val="000000"/>
          <w:highlight w:val="white"/>
        </w:rPr>
      </w:pPr>
      <w:r w:rsidDel="00000000" w:rsidR="00000000" w:rsidRPr="00000000">
        <w:rPr>
          <w:rFonts w:ascii="Times" w:cs="Times" w:eastAsia="Times" w:hAnsi="Times"/>
          <w:color w:val="000000"/>
          <w:highlight w:val="white"/>
          <w:rtl w:val="0"/>
        </w:rPr>
        <w:t xml:space="preserve">David Gissen, guest editor</w:t>
      </w:r>
    </w:p>
    <w:p w:rsidR="00000000" w:rsidDel="00000000" w:rsidP="00000000" w:rsidRDefault="00000000" w:rsidRPr="00000000" w14:paraId="00000004">
      <w:pPr>
        <w:contextualSpacing w:val="0"/>
        <w:rPr>
          <w:rFonts w:ascii="Times" w:cs="Times" w:eastAsia="Times" w:hAnsi="Times"/>
          <w:highlight w:val="white"/>
        </w:rPr>
      </w:pPr>
      <w:r w:rsidDel="00000000" w:rsidR="00000000" w:rsidRPr="00000000">
        <w:rPr>
          <w:rtl w:val="0"/>
        </w:rPr>
      </w:r>
    </w:p>
    <w:p w:rsidR="00000000" w:rsidDel="00000000" w:rsidP="00000000" w:rsidRDefault="00000000" w:rsidRPr="00000000" w14:paraId="00000005">
      <w:pPr>
        <w:contextualSpacing w:val="0"/>
        <w:rPr>
          <w:rFonts w:ascii="Times" w:cs="Times" w:eastAsia="Times" w:hAnsi="Times"/>
          <w:highlight w:val="white"/>
        </w:rPr>
      </w:pPr>
      <w:r w:rsidDel="00000000" w:rsidR="00000000" w:rsidRPr="00000000">
        <w:rPr>
          <w:rFonts w:ascii="Times" w:cs="Times" w:eastAsia="Times" w:hAnsi="Times"/>
          <w:highlight w:val="white"/>
          <w:rtl w:val="0"/>
        </w:rPr>
        <w:t xml:space="preserve">Manuscripts Due: Nov 1, 2018</w:t>
      </w:r>
    </w:p>
    <w:p w:rsidR="00000000" w:rsidDel="00000000" w:rsidP="00000000" w:rsidRDefault="00000000" w:rsidRPr="00000000" w14:paraId="00000006">
      <w:pPr>
        <w:contextualSpacing w:val="0"/>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07">
      <w:pPr>
        <w:contextualSpacing w:val="0"/>
        <w:rPr>
          <w:rFonts w:ascii="Times" w:cs="Times" w:eastAsia="Times" w:hAnsi="Times"/>
          <w:color w:val="000000"/>
          <w:highlight w:val="white"/>
        </w:rPr>
      </w:pPr>
      <w:bookmarkStart w:colFirst="0" w:colLast="0" w:name="_pnpjv0sh865n" w:id="0"/>
      <w:bookmarkEnd w:id="0"/>
      <w:r w:rsidDel="00000000" w:rsidR="00000000" w:rsidRPr="00000000">
        <w:rPr>
          <w:rFonts w:ascii="Times" w:cs="Times" w:eastAsia="Times" w:hAnsi="Times"/>
          <w:i w:val="1"/>
          <w:color w:val="000000"/>
          <w:highlight w:val="white"/>
          <w:rtl w:val="0"/>
        </w:rPr>
        <w:t xml:space="preserve">Future Anterior</w:t>
      </w:r>
      <w:r w:rsidDel="00000000" w:rsidR="00000000" w:rsidRPr="00000000">
        <w:rPr>
          <w:rFonts w:ascii="Times" w:cs="Times" w:eastAsia="Times" w:hAnsi="Times"/>
          <w:color w:val="000000"/>
          <w:highlight w:val="white"/>
          <w:rtl w:val="0"/>
        </w:rPr>
        <w:t xml:space="preserve"> seeks articles that critically examine engagements with disability within the theory and history of historic preservation. The accessibility of historic sites has been a key aspect of preservation discourse since the archaeological explorations of the late 18</w:t>
      </w:r>
      <w:r w:rsidDel="00000000" w:rsidR="00000000" w:rsidRPr="00000000">
        <w:rPr>
          <w:rFonts w:ascii="Times" w:cs="Times" w:eastAsia="Times" w:hAnsi="Times"/>
          <w:color w:val="000000"/>
          <w:highlight w:val="white"/>
          <w:vertAlign w:val="superscript"/>
          <w:rtl w:val="0"/>
        </w:rPr>
        <w:t xml:space="preserve">th</w:t>
      </w:r>
      <w:r w:rsidDel="00000000" w:rsidR="00000000" w:rsidRPr="00000000">
        <w:rPr>
          <w:rFonts w:ascii="Times" w:cs="Times" w:eastAsia="Times" w:hAnsi="Times"/>
          <w:color w:val="000000"/>
          <w:highlight w:val="white"/>
          <w:rtl w:val="0"/>
        </w:rPr>
        <w:t xml:space="preserve"> century and professionalization of preservation in the early 19</w:t>
      </w:r>
      <w:r w:rsidDel="00000000" w:rsidR="00000000" w:rsidRPr="00000000">
        <w:rPr>
          <w:rFonts w:ascii="Times" w:cs="Times" w:eastAsia="Times" w:hAnsi="Times"/>
          <w:color w:val="000000"/>
          <w:highlight w:val="white"/>
          <w:vertAlign w:val="superscript"/>
          <w:rtl w:val="0"/>
        </w:rPr>
        <w:t xml:space="preserve">th</w:t>
      </w:r>
      <w:r w:rsidDel="00000000" w:rsidR="00000000" w:rsidRPr="00000000">
        <w:rPr>
          <w:rFonts w:ascii="Times" w:cs="Times" w:eastAsia="Times" w:hAnsi="Times"/>
          <w:color w:val="000000"/>
          <w:highlight w:val="white"/>
          <w:rtl w:val="0"/>
        </w:rPr>
        <w:t xml:space="preserve"> century. In the past twenty years, several international institutions that manage historic buildings, landscapes and archaeological parks sought ways to make their spaces more available to a physically and cognitively diverse audience. But the interaction between historic and contemporary preservation discourses and the ideas of accessibility and “accommodation” (a fraught term) requires a more complex critical history. Historic sites such as the Athenian Acropolis or Roman Forum were far more easily navigated thousands of years ago (by today’s standards) than they are as modernized sites of architectural preservation. The early 19</w:t>
      </w:r>
      <w:r w:rsidDel="00000000" w:rsidR="00000000" w:rsidRPr="00000000">
        <w:rPr>
          <w:rFonts w:ascii="Times" w:cs="Times" w:eastAsia="Times" w:hAnsi="Times"/>
          <w:color w:val="000000"/>
          <w:highlight w:val="white"/>
          <w:vertAlign w:val="superscript"/>
          <w:rtl w:val="0"/>
        </w:rPr>
        <w:t xml:space="preserve">th</w:t>
      </w:r>
      <w:r w:rsidDel="00000000" w:rsidR="00000000" w:rsidRPr="00000000">
        <w:rPr>
          <w:rFonts w:ascii="Times" w:cs="Times" w:eastAsia="Times" w:hAnsi="Times"/>
          <w:color w:val="000000"/>
          <w:highlight w:val="white"/>
          <w:rtl w:val="0"/>
        </w:rPr>
        <w:t xml:space="preserve"> century, romanticist notion of experiencing ruins under physical duress has been built into the preservation aesthetics of important architectural monuments. And ideas about the aesthetics of disability enter into preservation practices in surprising ways and include a diverse set of topics – from the repair and reconstruction of building elements to the representation of people with disabilities in historic sites (battlefields, hospitals, pilgrimage sites, etc). This special issue will critically examine the concept of disability (in all its myriad definitions) as it interacts with the histories and theories of preservation in a global context. Articles are encouraged that draw on a recent and vast literature on disability to reexamine otherwise familiar architectural histories, to use preservation history to explore an expanded notion of disability of use to those seeking transformations to the experiences of history and space, and to consider how preservation as a practice can be more open to those who imagine themselves as agents and exemplars of physical and cognitive difference. </w:t>
      </w:r>
    </w:p>
    <w:p w:rsidR="00000000" w:rsidDel="00000000" w:rsidP="00000000" w:rsidRDefault="00000000" w:rsidRPr="00000000" w14:paraId="00000008">
      <w:pPr>
        <w:contextualSpacing w:val="0"/>
        <w:rPr>
          <w:rFonts w:ascii="Times" w:cs="Times" w:eastAsia="Times" w:hAnsi="Times"/>
          <w:highlight w:val="white"/>
        </w:rPr>
      </w:pPr>
      <w:bookmarkStart w:colFirst="0" w:colLast="0" w:name="_parjy8iu97qo" w:id="1"/>
      <w:bookmarkEnd w:id="1"/>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29axgw7cdrwh" w:id="2"/>
      <w:bookmarkEnd w:id="2"/>
      <w:r w:rsidDel="00000000" w:rsidR="00000000" w:rsidRPr="00000000">
        <w:rPr>
          <w:rFonts w:ascii="Times" w:cs="Times" w:eastAsia="Times" w:hAnsi="Times"/>
          <w:highlight w:val="white"/>
          <w:rtl w:val="0"/>
        </w:rPr>
        <w:t xml:space="preserve">Future Anterior is a peer reviewed (refereed) journal that approaches the field of historic preservation from a position of critical inquiry. A comparatively recent field of professional study, preservation often escapes direct academic challenges of its motives, goals, forms of practice and results. Future Anterior seeks contributions that ask these difficult questions from philosophical, theoretical, and critical perspectives.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2sjzop7ftl6j" w:id="3"/>
      <w:bookmarkEnd w:id="3"/>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8oe3f6v9k10u" w:id="4"/>
      <w:bookmarkEnd w:id="4"/>
      <w:r w:rsidDel="00000000" w:rsidR="00000000" w:rsidRPr="00000000">
        <w:rPr>
          <w:rFonts w:ascii="Times" w:cs="Times" w:eastAsia="Times" w:hAnsi="Times"/>
          <w:highlight w:val="white"/>
          <w:rtl w:val="0"/>
        </w:rPr>
        <w:t xml:space="preserve">Articles should be no more than 4,000 words (excluding footnotes), with up to seven illustrations. It is the responsibility of the author to secure permissions for image use and pay any reproduction fees. A brief abstract (200 words) and author bio (around 100 words) must accompany the text.  Acceptance or rejection of submissions is at the discretion of the Editorial Staff. Please do not send original materials, as submissions will not be returned.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dcqcub217hdd" w:id="5"/>
      <w:bookmarkEnd w:id="5"/>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nnduoxbtyhru" w:id="6"/>
      <w:bookmarkEnd w:id="6"/>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uhv02o8a8pci" w:id="7"/>
      <w:bookmarkEnd w:id="7"/>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highlight w:val="white"/>
        </w:rPr>
      </w:pPr>
      <w:bookmarkStart w:colFirst="0" w:colLast="0" w:name="_cqddha1kp9ju" w:id="8"/>
      <w:bookmarkEnd w:id="8"/>
      <w:r w:rsidDel="00000000" w:rsidR="00000000" w:rsidRPr="00000000">
        <w:rPr>
          <w:rFonts w:ascii="Times" w:cs="Times" w:eastAsia="Times" w:hAnsi="Times"/>
          <w:b w:val="1"/>
          <w:highlight w:val="white"/>
          <w:rtl w:val="0"/>
        </w:rPr>
        <w:t xml:space="preserve">Formatting requirements for the manuscript: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w4g2ixcw4th2" w:id="9"/>
      <w:bookmarkEnd w:id="9"/>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6jom85jk65pp" w:id="10"/>
      <w:bookmarkEnd w:id="10"/>
      <w:r w:rsidDel="00000000" w:rsidR="00000000" w:rsidRPr="00000000">
        <w:rPr>
          <w:rFonts w:ascii="Times" w:cs="Times" w:eastAsia="Times" w:hAnsi="Times"/>
          <w:highlight w:val="white"/>
          <w:rtl w:val="0"/>
        </w:rPr>
        <w:t xml:space="preserve">Text must be formatted in accordance with the Chicago Manual of Style, 15th Edition. All articles must be submitted in English, and spelling should follow American convention. All submissions must be submitted electronically, on a CD or disk, accompanied by hard copies of text and images. Text should be saved as Microsoft Word or RTF format.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vg9krj1ak12u" w:id="11"/>
      <w:bookmarkEnd w:id="11"/>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uwwma956jn7b" w:id="12"/>
      <w:bookmarkEnd w:id="12"/>
      <w:r w:rsidDel="00000000" w:rsidR="00000000" w:rsidRPr="00000000">
        <w:rPr>
          <w:rFonts w:ascii="Times" w:cs="Times" w:eastAsia="Times" w:hAnsi="Times"/>
          <w:highlight w:val="white"/>
          <w:rtl w:val="0"/>
        </w:rPr>
        <w:t xml:space="preserve">Formatting requirements for Illustrations: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w3ttco4h7go" w:id="13"/>
      <w:bookmarkEnd w:id="13"/>
      <w:r w:rsidDel="00000000" w:rsidR="00000000" w:rsidRPr="00000000">
        <w:rPr>
          <w:rFonts w:ascii="Times" w:cs="Times" w:eastAsia="Times" w:hAnsi="Times"/>
          <w:highlight w:val="white"/>
          <w:rtl w:val="0"/>
        </w:rPr>
        <w:t xml:space="preserve">Images should be sent as TIFF files with a resolution of at least 300dpi at 8” by 9” print size. Figures should be numbered clearly in the text, after the paragraph in which they are referenced. Image captions and credits must be included with submissions.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afibwkyr5jkm" w:id="14"/>
      <w:bookmarkEnd w:id="14"/>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r5bhtdjd8eqw" w:id="15"/>
      <w:bookmarkEnd w:id="15"/>
      <w:r w:rsidDel="00000000" w:rsidR="00000000" w:rsidRPr="00000000">
        <w:rPr>
          <w:rFonts w:ascii="Times" w:cs="Times" w:eastAsia="Times" w:hAnsi="Times"/>
          <w:highlight w:val="white"/>
          <w:rtl w:val="0"/>
        </w:rPr>
        <w:t xml:space="preserve">Checklist of documents required for submission: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2ijrs2bj03xr" w:id="16"/>
      <w:bookmarkEnd w:id="16"/>
      <w:r w:rsidDel="00000000" w:rsidR="00000000" w:rsidRPr="00000000">
        <w:rPr>
          <w:rFonts w:ascii="Times" w:cs="Times" w:eastAsia="Times" w:hAnsi="Times"/>
          <w:highlight w:val="white"/>
          <w:rtl w:val="0"/>
        </w:rPr>
        <w:t xml:space="preserve">__ Abstract (200 words)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gagwd3bp00f2" w:id="17"/>
      <w:bookmarkEnd w:id="17"/>
      <w:r w:rsidDel="00000000" w:rsidR="00000000" w:rsidRPr="00000000">
        <w:rPr>
          <w:rFonts w:ascii="Times" w:cs="Times" w:eastAsia="Times" w:hAnsi="Times"/>
          <w:highlight w:val="white"/>
          <w:rtl w:val="0"/>
        </w:rPr>
        <w:t xml:space="preserve">__ Manuscript (4000 words)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q6c4thc9cplg" w:id="18"/>
      <w:bookmarkEnd w:id="18"/>
      <w:r w:rsidDel="00000000" w:rsidR="00000000" w:rsidRPr="00000000">
        <w:rPr>
          <w:rFonts w:ascii="Times" w:cs="Times" w:eastAsia="Times" w:hAnsi="Times"/>
          <w:highlight w:val="white"/>
          <w:rtl w:val="0"/>
        </w:rPr>
        <w:t xml:space="preserve">__ Illustrations (7)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x8st1hp1egv9" w:id="19"/>
      <w:bookmarkEnd w:id="19"/>
      <w:r w:rsidDel="00000000" w:rsidR="00000000" w:rsidRPr="00000000">
        <w:rPr>
          <w:rFonts w:ascii="Times" w:cs="Times" w:eastAsia="Times" w:hAnsi="Times"/>
          <w:highlight w:val="white"/>
          <w:rtl w:val="0"/>
        </w:rPr>
        <w:t xml:space="preserve">__ Captions for Illustrations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vr2cgq7b0oue" w:id="20"/>
      <w:bookmarkEnd w:id="20"/>
      <w:r w:rsidDel="00000000" w:rsidR="00000000" w:rsidRPr="00000000">
        <w:rPr>
          <w:rFonts w:ascii="Times" w:cs="Times" w:eastAsia="Times" w:hAnsi="Times"/>
          <w:highlight w:val="white"/>
          <w:rtl w:val="0"/>
        </w:rPr>
        <w:t xml:space="preserve">__ Illustration Copyright information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saarej8ghmb0" w:id="21"/>
      <w:bookmarkEnd w:id="21"/>
      <w:r w:rsidDel="00000000" w:rsidR="00000000" w:rsidRPr="00000000">
        <w:rPr>
          <w:rFonts w:ascii="Times" w:cs="Times" w:eastAsia="Times" w:hAnsi="Times"/>
          <w:highlight w:val="white"/>
          <w:rtl w:val="0"/>
        </w:rPr>
        <w:t xml:space="preserve">__ Author biography (100 words)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c5sahngilx52" w:id="22"/>
      <w:bookmarkEnd w:id="22"/>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us6zf5x9pnr" w:id="23"/>
      <w:bookmarkEnd w:id="23"/>
      <w:r w:rsidDel="00000000" w:rsidR="00000000" w:rsidRPr="00000000">
        <w:rPr>
          <w:rFonts w:ascii="Times" w:cs="Times" w:eastAsia="Times" w:hAnsi="Times"/>
          <w:highlight w:val="white"/>
          <w:rtl w:val="0"/>
        </w:rPr>
        <w:t xml:space="preserve">Please email all submissions 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vo3a5mfpc465" w:id="24"/>
      <w:bookmarkEnd w:id="24"/>
      <w:hyperlink r:id="rId6">
        <w:r w:rsidDel="00000000" w:rsidR="00000000" w:rsidRPr="00000000">
          <w:rPr>
            <w:rFonts w:ascii="Times" w:cs="Times" w:eastAsia="Times" w:hAnsi="Times"/>
            <w:color w:val="1155cc"/>
            <w:highlight w:val="white"/>
            <w:u w:val="single"/>
            <w:rtl w:val="0"/>
          </w:rPr>
          <w:t xml:space="preserve">futureanterior@columbia.edu</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67de98s6ij0" w:id="25"/>
      <w:bookmarkEnd w:id="25"/>
      <w:r w:rsidDel="00000000" w:rsidR="00000000" w:rsidRPr="00000000">
        <w:rPr>
          <w:rtl w:val="0"/>
        </w:rPr>
      </w:r>
    </w:p>
    <w:p w:rsidR="00000000" w:rsidDel="00000000" w:rsidP="00000000" w:rsidRDefault="00000000" w:rsidRPr="00000000" w14:paraId="00000021">
      <w:pPr>
        <w:contextualSpacing w:val="0"/>
        <w:rPr>
          <w:rFonts w:ascii="Times" w:cs="Times" w:eastAsia="Times" w:hAnsi="Times"/>
          <w:highlight w:val="white"/>
        </w:rPr>
      </w:pPr>
      <w:bookmarkStart w:colFirst="0" w:colLast="0" w:name="_7lbnfeaxcmcy" w:id="26"/>
      <w:bookmarkEnd w:id="26"/>
      <w:r w:rsidDel="00000000" w:rsidR="00000000" w:rsidRPr="00000000">
        <w:rPr>
          <w:rFonts w:ascii="Times" w:cs="Times" w:eastAsia="Times" w:hAnsi="Times"/>
          <w:highlight w:val="white"/>
          <w:rtl w:val="0"/>
        </w:rPr>
        <w:t xml:space="preserve">Questions about submissions can be mailed to the above email address or emailed to: </w:t>
      </w:r>
    </w:p>
    <w:p w:rsidR="00000000" w:rsidDel="00000000" w:rsidP="00000000" w:rsidRDefault="00000000" w:rsidRPr="00000000" w14:paraId="00000022">
      <w:pPr>
        <w:contextualSpacing w:val="0"/>
        <w:rPr>
          <w:rFonts w:ascii="Times" w:cs="Times" w:eastAsia="Times" w:hAnsi="Times"/>
          <w:highlight w:val="white"/>
        </w:rPr>
      </w:pPr>
      <w:bookmarkStart w:colFirst="0" w:colLast="0" w:name="_6vh0vev6ewd9" w:id="27"/>
      <w:bookmarkEnd w:id="27"/>
      <w:r w:rsidDel="00000000" w:rsidR="00000000" w:rsidRPr="00000000">
        <w:rPr>
          <w:rFonts w:ascii="Times" w:cs="Times" w:eastAsia="Times" w:hAnsi="Times"/>
          <w:highlight w:val="white"/>
          <w:rtl w:val="0"/>
        </w:rPr>
        <w:t xml:space="preserve">Prof. David Gissen, Guest Editor, Future Anterior</w:t>
      </w:r>
    </w:p>
    <w:p w:rsidR="00000000" w:rsidDel="00000000" w:rsidP="00000000" w:rsidRDefault="00000000" w:rsidRPr="00000000" w14:paraId="00000023">
      <w:pPr>
        <w:contextualSpacing w:val="0"/>
        <w:rPr>
          <w:rFonts w:ascii="Times" w:cs="Times" w:eastAsia="Times" w:hAnsi="Times"/>
          <w:highlight w:val="white"/>
        </w:rPr>
      </w:pPr>
      <w:bookmarkStart w:colFirst="0" w:colLast="0" w:name="_ist4fdk9g6wo" w:id="28"/>
      <w:bookmarkEnd w:id="28"/>
      <w:r w:rsidDel="00000000" w:rsidR="00000000" w:rsidRPr="00000000">
        <w:rPr>
          <w:rFonts w:ascii="Times" w:cs="Times" w:eastAsia="Times" w:hAnsi="Times"/>
          <w:highlight w:val="white"/>
          <w:rtl w:val="0"/>
        </w:rPr>
        <w:t xml:space="preserve">California College of the Arts</w:t>
      </w:r>
    </w:p>
    <w:p w:rsidR="00000000" w:rsidDel="00000000" w:rsidP="00000000" w:rsidRDefault="00000000" w:rsidRPr="00000000" w14:paraId="00000024">
      <w:pPr>
        <w:contextualSpacing w:val="0"/>
        <w:rPr>
          <w:rFonts w:ascii="Times" w:cs="Times" w:eastAsia="Times" w:hAnsi="Times"/>
          <w:highlight w:val="white"/>
        </w:rPr>
      </w:pPr>
      <w:bookmarkStart w:colFirst="0" w:colLast="0" w:name="_j3gf3vzv7nj" w:id="29"/>
      <w:bookmarkEnd w:id="29"/>
      <w:r w:rsidDel="00000000" w:rsidR="00000000" w:rsidRPr="00000000">
        <w:rPr>
          <w:rFonts w:ascii="Times" w:cs="Times" w:eastAsia="Times" w:hAnsi="Times"/>
          <w:highlight w:val="white"/>
          <w:rtl w:val="0"/>
        </w:rPr>
        <w:t xml:space="preserve">dgissen@cca.edu</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q6ozo9iwk9w" w:id="30"/>
      <w:bookmarkEnd w:id="30"/>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c5efn2fkmroz" w:id="31"/>
      <w:bookmarkEnd w:id="31"/>
      <w:r w:rsidDel="00000000" w:rsidR="00000000" w:rsidRPr="00000000">
        <w:rPr>
          <w:rFonts w:ascii="Times" w:cs="Times" w:eastAsia="Times" w:hAnsi="Times"/>
          <w:highlight w:val="white"/>
          <w:rtl w:val="0"/>
        </w:rPr>
        <w:t xml:space="preserve">or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v8r5xhp6ail" w:id="32"/>
      <w:bookmarkEnd w:id="32"/>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3a8xl7c6zpv0" w:id="33"/>
      <w:bookmarkEnd w:id="33"/>
      <w:r w:rsidDel="00000000" w:rsidR="00000000" w:rsidRPr="00000000">
        <w:rPr>
          <w:rFonts w:ascii="Times" w:cs="Times" w:eastAsia="Times" w:hAnsi="Times"/>
          <w:highlight w:val="white"/>
          <w:rtl w:val="0"/>
        </w:rPr>
        <w:t xml:space="preserve">Jorge Otero-Pailos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fwf2zrx9cqio" w:id="34"/>
      <w:bookmarkEnd w:id="34"/>
      <w:r w:rsidDel="00000000" w:rsidR="00000000" w:rsidRPr="00000000">
        <w:rPr>
          <w:rFonts w:ascii="Times" w:cs="Times" w:eastAsia="Times" w:hAnsi="Times"/>
          <w:highlight w:val="white"/>
          <w:rtl w:val="0"/>
        </w:rPr>
        <w:t xml:space="preserve">Editor, Future Anterior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jt86i98i7whq" w:id="35"/>
      <w:bookmarkEnd w:id="35"/>
      <w:r w:rsidDel="00000000" w:rsidR="00000000" w:rsidRPr="00000000">
        <w:rPr>
          <w:rFonts w:ascii="Times" w:cs="Times" w:eastAsia="Times" w:hAnsi="Times"/>
          <w:highlight w:val="white"/>
          <w:rtl w:val="0"/>
        </w:rPr>
        <w:t xml:space="preserve">Future Anterior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rt10892ndo4g" w:id="36"/>
      <w:bookmarkEnd w:id="36"/>
      <w:r w:rsidDel="00000000" w:rsidR="00000000" w:rsidRPr="00000000">
        <w:rPr>
          <w:rFonts w:ascii="Times" w:cs="Times" w:eastAsia="Times" w:hAnsi="Times"/>
          <w:highlight w:val="white"/>
          <w:rtl w:val="0"/>
        </w:rPr>
        <w:t xml:space="preserve">GSAPP</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mm6we6qsjf60" w:id="37"/>
      <w:bookmarkEnd w:id="37"/>
      <w:r w:rsidDel="00000000" w:rsidR="00000000" w:rsidRPr="00000000">
        <w:rPr>
          <w:rFonts w:ascii="Times" w:cs="Times" w:eastAsia="Times" w:hAnsi="Times"/>
          <w:highlight w:val="white"/>
          <w:rtl w:val="0"/>
        </w:rPr>
        <w:t xml:space="preserve">400 Avery Hall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2tngo94lmqmw" w:id="38"/>
      <w:bookmarkEnd w:id="38"/>
      <w:r w:rsidDel="00000000" w:rsidR="00000000" w:rsidRPr="00000000">
        <w:rPr>
          <w:rFonts w:ascii="Times" w:cs="Times" w:eastAsia="Times" w:hAnsi="Times"/>
          <w:highlight w:val="white"/>
          <w:rtl w:val="0"/>
        </w:rPr>
        <w:t xml:space="preserve">1172 Amsterdam Ave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32n2p94cy72z" w:id="39"/>
      <w:bookmarkEnd w:id="39"/>
      <w:r w:rsidDel="00000000" w:rsidR="00000000" w:rsidRPr="00000000">
        <w:rPr>
          <w:rFonts w:ascii="Times" w:cs="Times" w:eastAsia="Times" w:hAnsi="Times"/>
          <w:highlight w:val="white"/>
          <w:rtl w:val="0"/>
        </w:rPr>
        <w:t xml:space="preserve">Columbia University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h6swcqihqean" w:id="40"/>
      <w:bookmarkEnd w:id="40"/>
      <w:r w:rsidDel="00000000" w:rsidR="00000000" w:rsidRPr="00000000">
        <w:rPr>
          <w:rFonts w:ascii="Times" w:cs="Times" w:eastAsia="Times" w:hAnsi="Times"/>
          <w:highlight w:val="white"/>
          <w:rtl w:val="0"/>
        </w:rPr>
        <w:t xml:space="preserve">New York, NY 10027</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19aig189wx5u" w:id="41"/>
      <w:bookmarkEnd w:id="41"/>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kqjrmnd7qx2t" w:id="42"/>
      <w:bookmarkEnd w:id="42"/>
      <w:r w:rsidDel="00000000" w:rsidR="00000000" w:rsidRPr="00000000">
        <w:rPr>
          <w:rFonts w:ascii="Times" w:cs="Times" w:eastAsia="Times" w:hAnsi="Times"/>
          <w:highlight w:val="white"/>
          <w:rtl w:val="0"/>
        </w:rPr>
        <w:t xml:space="preserve">Acceptance or rejection of submissions is at the discretion of the editors.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gcx1ejkza1kp" w:id="43"/>
      <w:bookmarkEnd w:id="43"/>
      <w:r w:rsidDel="00000000" w:rsidR="00000000" w:rsidRPr="00000000">
        <w:rPr>
          <w:rFonts w:ascii="Times" w:cs="Times" w:eastAsia="Times" w:hAnsi="Times"/>
          <w:highlight w:val="white"/>
          <w:rtl w:val="0"/>
        </w:rPr>
        <w:t xml:space="preserve">Please do not send original materials, as submissions will not be returned.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8g0zxu5vm3c4" w:id="44"/>
      <w:bookmarkEnd w:id="44"/>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highlight w:val="white"/>
        </w:rPr>
      </w:pPr>
      <w:bookmarkStart w:colFirst="0" w:colLast="0" w:name="_j3gf3vzv7nj" w:id="29"/>
      <w:bookmarkEnd w:id="29"/>
      <w:r w:rsidDel="00000000" w:rsidR="00000000" w:rsidRPr="00000000">
        <w:rPr>
          <w:rtl w:val="0"/>
        </w:rPr>
      </w:r>
    </w:p>
    <w:p w:rsidR="00000000" w:rsidDel="00000000" w:rsidP="00000000" w:rsidRDefault="00000000" w:rsidRPr="00000000" w14:paraId="00000035">
      <w:pPr>
        <w:contextualSpacing w:val="0"/>
        <w:rPr>
          <w:rFonts w:ascii="Times" w:cs="Times" w:eastAsia="Times" w:hAnsi="Time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utureanterior@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